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7A" w:rsidRDefault="00BA6B7A" w:rsidP="00BA6B7A">
      <w:pPr>
        <w:spacing w:after="0" w:line="276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BA6B7A" w:rsidRDefault="00BA6B7A" w:rsidP="00BA6B7A">
      <w:pPr>
        <w:spacing w:after="0" w:line="276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LIČKO-SENJSKA ŽUPANIJA</w:t>
      </w:r>
    </w:p>
    <w:p w:rsidR="00BA6B7A" w:rsidRDefault="00BA6B7A" w:rsidP="00BA6B7A">
      <w:pPr>
        <w:tabs>
          <w:tab w:val="left" w:pos="1995"/>
        </w:tabs>
        <w:spacing w:after="0" w:line="276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Grad Novalja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A6B7A" w:rsidRDefault="00BA6B7A" w:rsidP="00BA6B7A">
      <w:pPr>
        <w:spacing w:after="0" w:line="276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Gradska knjižnica Novalja</w:t>
      </w:r>
    </w:p>
    <w:p w:rsidR="00BA6B7A" w:rsidRDefault="00BA6B7A" w:rsidP="00BA6B7A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400-01/23-01/03</w:t>
      </w:r>
    </w:p>
    <w:p w:rsidR="00BA6B7A" w:rsidRDefault="00BA6B7A" w:rsidP="00BA6B7A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2125-86-23-2</w:t>
      </w:r>
    </w:p>
    <w:p w:rsidR="00BA6B7A" w:rsidRDefault="006928B8" w:rsidP="00BA6B7A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Novalja, 28</w:t>
      </w:r>
      <w:r w:rsidR="00BA6B7A">
        <w:rPr>
          <w:rFonts w:ascii="Times New Roman" w:eastAsia="Calibri" w:hAnsi="Times New Roman" w:cs="Times New Roman"/>
          <w:sz w:val="24"/>
          <w:szCs w:val="24"/>
        </w:rPr>
        <w:t>. prosinca 2023.</w:t>
      </w:r>
    </w:p>
    <w:p w:rsidR="00BA6B7A" w:rsidRDefault="00BA6B7A" w:rsidP="00BA6B7A">
      <w:pPr>
        <w:tabs>
          <w:tab w:val="left" w:pos="3123"/>
        </w:tabs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A6B7A" w:rsidRDefault="00BA6B7A" w:rsidP="00BA6B7A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14.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Statuta Gradske knjižnice Novalja, v.d. ravnatelja Gradske knjižnice Novalja donosi</w:t>
      </w: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FINANCIJSKI PLAN </w:t>
      </w: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GRADSKE KNJIŽNICE NOVALJA</w:t>
      </w: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ZA 2024. GODINU I PROJEKCIJA ZA 2025. I 2026. GODINU</w:t>
      </w: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Članak 1.</w:t>
      </w: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Financijski plan  Gradske knjižnice Novalja za 2024. godinu i projekcije za 2025. i 2026. godinu utvrđuje se kako slijedi:</w:t>
      </w: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7A" w:rsidRDefault="00BA6B7A" w:rsidP="00BA6B7A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A. OPĆI DIO</w:t>
      </w:r>
    </w:p>
    <w:p w:rsidR="00BA6B7A" w:rsidRDefault="00BA6B7A" w:rsidP="00BA6B7A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928"/>
        <w:gridCol w:w="2900"/>
        <w:gridCol w:w="1843"/>
        <w:gridCol w:w="1217"/>
        <w:gridCol w:w="1217"/>
        <w:gridCol w:w="1495"/>
        <w:gridCol w:w="1495"/>
        <w:gridCol w:w="972"/>
        <w:gridCol w:w="972"/>
        <w:gridCol w:w="1202"/>
        <w:gridCol w:w="1109"/>
      </w:tblGrid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200" w:line="27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200"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(€)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 (€)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(€)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(€)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(€)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01.01.2022. - 31.12.2022.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2026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2/1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3/2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5/4</w:t>
            </w: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</w:tr>
      <w:tr w:rsidR="00BA6B7A" w:rsidTr="00BA6B7A">
        <w:trPr>
          <w:trHeight w:val="255"/>
        </w:trPr>
        <w:tc>
          <w:tcPr>
            <w:tcW w:w="3828" w:type="dxa"/>
            <w:gridSpan w:val="2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77.882,62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95.661,55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122,83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66.133,56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81.2</w:t>
            </w:r>
            <w:r w:rsidR="00BA6B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122,78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109,24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8.995,00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16.965,951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188,61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84,29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BA6B7A" w:rsidTr="00BA6B7A">
        <w:trPr>
          <w:trHeight w:val="255"/>
        </w:trPr>
        <w:tc>
          <w:tcPr>
            <w:tcW w:w="3828" w:type="dxa"/>
            <w:gridSpan w:val="2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RAZLIKA − MANJAK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2.754,06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-2.503,96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90,92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</w:tr>
      <w:tr w:rsidR="00BA6B7A" w:rsidTr="00BA6B7A">
        <w:trPr>
          <w:trHeight w:val="255"/>
        </w:trPr>
        <w:tc>
          <w:tcPr>
            <w:tcW w:w="3828" w:type="dxa"/>
            <w:gridSpan w:val="2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</w:tr>
      <w:tr w:rsidR="00BA6B7A" w:rsidTr="00BA6B7A">
        <w:trPr>
          <w:trHeight w:val="255"/>
        </w:trPr>
        <w:tc>
          <w:tcPr>
            <w:tcW w:w="3828" w:type="dxa"/>
            <w:gridSpan w:val="2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NETO ZADUŽIVANJE / FINANCIRANJE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</w:tr>
      <w:tr w:rsidR="00BA6B7A" w:rsidTr="00BA6B7A">
        <w:trPr>
          <w:trHeight w:val="255"/>
        </w:trPr>
        <w:tc>
          <w:tcPr>
            <w:tcW w:w="3828" w:type="dxa"/>
            <w:gridSpan w:val="2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BA6B7A" w:rsidTr="00BA6B7A">
        <w:trPr>
          <w:trHeight w:val="559"/>
        </w:trPr>
        <w:tc>
          <w:tcPr>
            <w:tcW w:w="3828" w:type="dxa"/>
            <w:gridSpan w:val="2"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C. DIO VIŠKA/MANJKA IZ PRETHODNIH GODINA KOJI ĆE SE POKRIT/RASPOREDITI U PLANIRANOM RAZDOBLJU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BA6B7A" w:rsidTr="00BA6B7A">
        <w:trPr>
          <w:trHeight w:val="255"/>
        </w:trPr>
        <w:tc>
          <w:tcPr>
            <w:tcW w:w="928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76" w:lineRule="auto"/>
            </w:pPr>
          </w:p>
        </w:tc>
      </w:tr>
      <w:tr w:rsidR="00BA6B7A" w:rsidTr="00BA6B7A">
        <w:trPr>
          <w:trHeight w:val="255"/>
        </w:trPr>
        <w:tc>
          <w:tcPr>
            <w:tcW w:w="3828" w:type="dxa"/>
            <w:gridSpan w:val="2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/ MANJAK + NETO ZADUŽIVANJA / FINANCIRANJA</w:t>
            </w:r>
          </w:p>
        </w:tc>
        <w:tc>
          <w:tcPr>
            <w:tcW w:w="1843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2.754,06</w:t>
            </w:r>
          </w:p>
        </w:tc>
        <w:tc>
          <w:tcPr>
            <w:tcW w:w="1126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6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shd w:val="clear" w:color="auto" w:fill="F2DBDB" w:themeFill="accent2" w:themeFillTint="33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2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9" w:type="dxa"/>
            <w:noWrap/>
            <w:vAlign w:val="bottom"/>
            <w:hideMark/>
          </w:tcPr>
          <w:p w:rsidR="00BA6B7A" w:rsidRDefault="00BA6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</w:tbl>
    <w:p w:rsidR="00BA6B7A" w:rsidRDefault="00BA6B7A" w:rsidP="00BA6B7A">
      <w:pPr>
        <w:tabs>
          <w:tab w:val="center" w:pos="11340"/>
        </w:tabs>
        <w:spacing w:after="360"/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1418"/>
        <w:gridCol w:w="2410"/>
        <w:gridCol w:w="1559"/>
        <w:gridCol w:w="1276"/>
        <w:gridCol w:w="1275"/>
        <w:gridCol w:w="1701"/>
        <w:gridCol w:w="1701"/>
        <w:gridCol w:w="993"/>
        <w:gridCol w:w="992"/>
        <w:gridCol w:w="992"/>
        <w:gridCol w:w="992"/>
      </w:tblGrid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(€)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 (€)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(€)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(€)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(€)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(€)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(€)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(€)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 (€)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01.01.2022. - 31.12.2022.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5/4</w:t>
            </w:r>
          </w:p>
        </w:tc>
      </w:tr>
      <w:tr w:rsidR="006928B8" w:rsidRPr="006928B8" w:rsidTr="008C1947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77.882,62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95.661,55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122,83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6.014,17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2.614,63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71.547,73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66.133,56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122,78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56.277,48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9.606,26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8.995,00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16.965,51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188,61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16.965,51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928B8" w:rsidRPr="006928B8" w:rsidTr="008C1947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C. RASPOLOŽIVA SREDSTVA IZ PRETHODNIH GODINA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28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928B8" w:rsidRPr="006928B8" w:rsidTr="008C194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8" w:rsidRPr="006928B8" w:rsidRDefault="006928B8" w:rsidP="0069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A6B7A" w:rsidRDefault="00BA6B7A" w:rsidP="00BA6B7A">
      <w:pPr>
        <w:tabs>
          <w:tab w:val="center" w:pos="11340"/>
        </w:tabs>
        <w:spacing w:after="360"/>
      </w:pPr>
    </w:p>
    <w:p w:rsidR="00BA6B7A" w:rsidRDefault="00BA6B7A" w:rsidP="00BA6B7A">
      <w:pPr>
        <w:tabs>
          <w:tab w:val="center" w:pos="113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 RAČU</w:t>
      </w:r>
      <w:r w:rsidR="008E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 PRIHODA I RASHODA </w:t>
      </w: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2193"/>
        <w:gridCol w:w="1493"/>
        <w:gridCol w:w="1559"/>
        <w:gridCol w:w="1418"/>
        <w:gridCol w:w="1275"/>
        <w:gridCol w:w="1560"/>
        <w:gridCol w:w="1495"/>
        <w:gridCol w:w="1056"/>
        <w:gridCol w:w="1134"/>
        <w:gridCol w:w="992"/>
        <w:gridCol w:w="1134"/>
      </w:tblGrid>
      <w:tr w:rsidR="008C1947" w:rsidRPr="008C1947" w:rsidTr="008C1947">
        <w:trPr>
          <w:trHeight w:val="255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8C1947" w:rsidRPr="008C1947" w:rsidTr="008C1947">
        <w:trPr>
          <w:trHeight w:val="255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(€)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 (€)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(€)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(€)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(€)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8C1947" w:rsidRPr="008C1947" w:rsidTr="008C1947">
        <w:trPr>
          <w:trHeight w:val="255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01.01.2022. - 31.12.2022.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PRIHODI /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77.882,62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95.661,55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77.882,62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95.661,55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6.014,17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1.3. Opći prihodi i primici proračunski korisnik(država)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6.014,17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Prihodi od financijske imovine (kamate)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2.614,63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 (članarina)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2.614,63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71.547,73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1.4. Opći prihodi i primici proračunski korisnik (grad)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71.547,73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95.100,00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75.128,56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98.165,51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66.133,56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56.277,48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1.4. Opći prihodi i primici proračunski korisnik (grad)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56.277,48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9.606,26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1.4. Opći prihodi i primici proračunski korisnik (grad)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9.606,26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3.3. Višak prihoda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34 Financijski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1.4. Opći prihodi i primici proračunski korisnik (grad)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249,82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16.965,51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16.965,51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1.3. Opći prihodi i primici proračunski korisnik(država)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2.919,89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6.014,17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1.4. Opći prihodi i primici proračunski korisnik (grad)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5.414,20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 (članarina)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660,91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3.3. Višak prihoda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C1947" w:rsidRPr="008C1947" w:rsidTr="008C1947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1947" w:rsidRPr="008C1947" w:rsidRDefault="008C1947" w:rsidP="008C1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w:rsidR="00BA6B7A" w:rsidRDefault="00BA6B7A" w:rsidP="00BA6B7A"/>
    <w:p w:rsidR="00BA6B7A" w:rsidRDefault="00BA6B7A" w:rsidP="00BA6B7A"/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1"/>
        <w:gridCol w:w="1855"/>
        <w:gridCol w:w="1843"/>
        <w:gridCol w:w="1275"/>
        <w:gridCol w:w="1134"/>
        <w:gridCol w:w="1560"/>
        <w:gridCol w:w="1559"/>
        <w:gridCol w:w="1134"/>
        <w:gridCol w:w="992"/>
        <w:gridCol w:w="992"/>
        <w:gridCol w:w="1134"/>
      </w:tblGrid>
      <w:tr w:rsidR="00CB5F7E" w:rsidTr="00CB5F7E">
        <w:trPr>
          <w:trHeight w:val="247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CB5F7E" w:rsidTr="00CB5F7E">
        <w:trPr>
          <w:trHeight w:val="247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(€)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(€)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(€)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(€)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(€)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B5F7E" w:rsidTr="00CB5F7E">
        <w:trPr>
          <w:trHeight w:val="247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PRIHODA / PRIMITAKA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(2/1)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(3/2)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(4/3)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(5/4)</w:t>
            </w:r>
          </w:p>
        </w:tc>
      </w:tr>
      <w:tr w:rsidR="008C1947" w:rsidTr="00CB5F7E">
        <w:trPr>
          <w:trHeight w:val="24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UKUPNO RASHODI / IZDACI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75.128,56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98.165,51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C1947" w:rsidTr="00CB5F7E">
        <w:trPr>
          <w:trHeight w:val="24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75.128,56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98.165,51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C1947" w:rsidTr="00CB5F7E">
        <w:trPr>
          <w:trHeight w:val="24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 Službe kulture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75.128,56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98.165,51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8C1947" w:rsidRDefault="008C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8C1947" w:rsidRDefault="008C1947" w:rsidP="00BA6B7A">
      <w:pPr>
        <w:tabs>
          <w:tab w:val="center" w:pos="11340"/>
        </w:tabs>
        <w:spacing w:after="360"/>
      </w:pPr>
    </w:p>
    <w:p w:rsidR="008C1947" w:rsidRDefault="008C1947" w:rsidP="00BA6B7A">
      <w:pPr>
        <w:tabs>
          <w:tab w:val="center" w:pos="11340"/>
        </w:tabs>
        <w:spacing w:after="360"/>
      </w:pPr>
    </w:p>
    <w:p w:rsidR="008E4EEB" w:rsidRDefault="008E4EEB" w:rsidP="00BA6B7A">
      <w:pPr>
        <w:tabs>
          <w:tab w:val="center" w:pos="11340"/>
        </w:tabs>
        <w:spacing w:after="360"/>
      </w:pPr>
    </w:p>
    <w:p w:rsidR="008E4EEB" w:rsidRDefault="008E4EEB" w:rsidP="00BA6B7A">
      <w:pPr>
        <w:tabs>
          <w:tab w:val="center" w:pos="11340"/>
        </w:tabs>
        <w:spacing w:after="360"/>
      </w:pPr>
      <w:bookmarkStart w:id="0" w:name="_GoBack"/>
      <w:bookmarkEnd w:id="0"/>
    </w:p>
    <w:p w:rsidR="00BA6B7A" w:rsidRDefault="00BA6B7A" w:rsidP="00BA6B7A">
      <w:pPr>
        <w:tabs>
          <w:tab w:val="center" w:pos="11340"/>
        </w:tabs>
        <w:spacing w:after="360"/>
      </w:pPr>
      <w:r>
        <w:lastRenderedPageBreak/>
        <w:t>POSEBNI  DIO</w:t>
      </w:r>
    </w:p>
    <w:tbl>
      <w:tblPr>
        <w:tblW w:w="15295" w:type="dxa"/>
        <w:tblInd w:w="-459" w:type="dxa"/>
        <w:tblLook w:val="04A0" w:firstRow="1" w:lastRow="0" w:firstColumn="1" w:lastColumn="0" w:noHBand="0" w:noVBand="1"/>
      </w:tblPr>
      <w:tblGrid>
        <w:gridCol w:w="1905"/>
        <w:gridCol w:w="1639"/>
        <w:gridCol w:w="1985"/>
        <w:gridCol w:w="1275"/>
        <w:gridCol w:w="1217"/>
        <w:gridCol w:w="1495"/>
        <w:gridCol w:w="1541"/>
        <w:gridCol w:w="1134"/>
        <w:gridCol w:w="972"/>
        <w:gridCol w:w="1160"/>
        <w:gridCol w:w="972"/>
      </w:tblGrid>
      <w:tr w:rsidR="00CB5F7E" w:rsidRPr="00CB5F7E" w:rsidTr="00CB5F7E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CB5F7E" w:rsidRPr="00CB5F7E" w:rsidTr="00CB5F7E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(€)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 (€)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(€)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(€)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(€)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CB5F7E" w:rsidRPr="00CB5F7E" w:rsidTr="00CB5F7E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75.128,56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98.165,51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001 GRADSKA KNJIŽNICA- RASHODI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75.128,56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95.661,55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127,33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Promicanje kulture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75.128,56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95.661,55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A100000 Rashodi za zaposlene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56.277,48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1.4. Opći prihodi i primici proračunski korisnik (grad)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56.277,48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Materijalni i financijski rashodi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9.856,08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142,04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1.4. Opći prihodi i primici proračunski korisnik (grad)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9.856,08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142,04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K100000 Nabava dugotrajne imovine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8.995,00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14.961,55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1.3. Opći prihodi i primici proračunski korisnik(država)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2.919,89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6.014,17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1.4. Opći prihodi i primici proračunski korisnik (grad)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5.414,20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 (članarina)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660,91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279,52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100 PRENESENA SREDSTVA PRETHODNIH GODINA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Promicanje kulture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Materijalni i financijski rashodi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3.3. Višak prihoda poslovanja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K100000 Nabava dugotrajne imovine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2.003,96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B5F7E" w:rsidRPr="00CB5F7E" w:rsidTr="00CB5F7E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3.3. Višak prihoda poslovanja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2.003,96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B5F7E" w:rsidRPr="00CB5F7E" w:rsidRDefault="00CB5F7E" w:rsidP="00CB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5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BA6B7A" w:rsidRDefault="00BA6B7A" w:rsidP="00BA6B7A">
      <w:pPr>
        <w:rPr>
          <w:color w:val="FF0000"/>
        </w:rPr>
      </w:pPr>
    </w:p>
    <w:p w:rsidR="00BA6B7A" w:rsidRDefault="00BA6B7A" w:rsidP="00BA6B7A">
      <w:pPr>
        <w:tabs>
          <w:tab w:val="center" w:pos="11340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 Gradske knjižnice Novalja za 2024. godinu i projekcije za 2025. i 2026. godinu stupaju na snagu prvog dana od dana dobivanja suglasnosti osnivača, a objavit će se na oglasnoj ploči Knjižnice.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v.d.ravnatelja: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Kustić</w:t>
      </w:r>
      <w:proofErr w:type="spellEnd"/>
      <w:r>
        <w:rPr>
          <w:rFonts w:ascii="Times New Roman" w:hAnsi="Times New Roman" w:cs="Times New Roman"/>
          <w:sz w:val="24"/>
          <w:szCs w:val="24"/>
        </w:rPr>
        <w:t>,mag.educ.hist.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5F7E" w:rsidRDefault="00CB5F7E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5F7E" w:rsidRDefault="00CB5F7E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5F7E" w:rsidRDefault="00CB5F7E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prijedlog Financijskog plana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Gradske knjižnice Novalja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2024. godinu i projekcija za 2025. i 2026. godinu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center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Financijskog plana Gradske knjižnice Novalja za 2024. godinu i projekcija za 2025. i 2026. godinu (dalje u tekstu: Financijski plan) sastavljen je sukladno odredbama utvrđenim Zakonom o proračunu („Narodne novine“ br. 87/08, 136/12, 15/15),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: Pravilnikom o proračunskim klasifikacijama („Narodne novine“ br. 26/10, 120/13 i 1/20), Pravilnikom o proračunskom računovodstvu i računskom planu („Narodne novine br. 124/14; 115/15; 87/16;,03/18 i 126/19) te Zakona o fiskalnoj odgovornosti („Narodne novine broj 111/18) i Uredbi o sastavljanju i predaji izjave o fiskalnoj odgovornosti i izvještaja o primjeni fiskalnih pravila (NN 95/19) te na procjeni vlastitih prihoda i rashoda.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 okvir za izradu Financijskog plana predstavljaju Upute za izradu proračuna Grada Novalje za razdoblje 2024.-2026. godine.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planiranja korištena je jedinstvena metodologija obilježavanja prihoda i primitaka te rashoda i izdataka, a primijenjena je i posebna klasifikacija – izvori financiranja. Izvore financiranja čine skupine prihoda i primitaka iz kojih se podmiruju rashodi i izdaci određene vrste i utvrđene namjene.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će biti usklađen s Proračunom Grada Novalje za 2024. godinu i projekcijama za 2025. i 2026. godinu.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slijedi pojašnjenje pojedinih stavki prijedloga Financijskog plana za 2024. godinu.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prihodi iznose 103.000,00 eura što predstavlja povećanje u odnosu na 2023. godinu za 9.000,00 eura.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Opći prihodi i primici iz državnog proračuna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iznose 5.000,00 eura i veći su u odnosu na 2023. za 1.947,38 eura, a odnose se na sredstva Ministarstva kulture za financiranje programa javnih potreba u kulturi Republike Hrvatske za 2024. godinu.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 prihodi i primici iz proračuna Grada Novalje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95.100,00 eura, a odnose se na prihode za financiranje rashoda poslovanja (88.700,00 eura) i prihoda za financiranje rashoda za nabavu nefinancijske imovine (6.400,00 eura).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Vlastiti prihodi (članarine)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povećavaju se za 652,62 eura na temelju povećanih prihoda iz 2023.godine te u planiranom iznose 2.500,00 eura.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Donacije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knjige su planirane u iznosu od 400,00 eura.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0" w:righ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RASHODI I IZDACI</w:t>
      </w:r>
    </w:p>
    <w:p w:rsidR="00BA6B7A" w:rsidRDefault="00BA6B7A" w:rsidP="00BA6B7A">
      <w:pPr>
        <w:pStyle w:val="Odlomakpopisa"/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B7A" w:rsidRDefault="00BA6B7A" w:rsidP="00BA6B7A">
      <w:pPr>
        <w:pStyle w:val="Odlomakpopisa"/>
        <w:spacing w:after="36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rashodi iznose 103.000,00 eura što predstavlja povećanje u odnosu na 2023. godinu za 9.000,00 eura.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Rashodi za zaposlene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za zaposlene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71.900,00 eura, a čine ih plaće za redovan rad, ostali rashodi za zaposlene te doprinosi za obvezno zdravstveno osiguranje.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Plaće za redovan rad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56.000,00 eura i veće su od prošlogodišnjih za 3.200,00 eura, zbog povećanja osnovice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Ostali rashodi za zaposlene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(božićnica, dar za djecu, topli obrok, otpremnina) iznose 6.500,00 eura i veći su od prošlogodišnjih za 1.400,00 eura.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Doprinosi za obvezno zdravstveno osiguranje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iznose 9.400,00 eura i veći su za 600,00 eura od prošlogodišnjih.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Materijalni i financijski rashodi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16.800,00 eura.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Rashodi za usluge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za usluge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6.400,00 eura i veći su od prošlogodišnjih za 500,00 eura.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Usluge tekućeg i investicijskog održavanja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iznose 700,00 eura i veće su za 200,00 eura od prošlogodišnjih zbog mogućih nenadanih kvarova na računalima.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Usluge promidžbe i informiranja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uvećani su od prošlogodišnjih za 100,00 eura zbog poskupljenja promidžbenih materijala, te sada iznose 400,00 eura.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Zdravstvene i veterinarske usluge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uvećane u za 300,00 eura te sada iznose 1.000,00 eura, zbog mogućih većih troškova sklapanja polica dobrovoljnog zdravstvenog osiguranja.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Rashodi za intelektualne i osobne usluge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iznose 1.200,00 eura i na razini su prošlogodišnjih.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Rashodi za računalne usluge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2.000,00 eura i na razini su prošlogodišnjih.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ostalim nespomenutim rashodima poslovanja,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Reprezentaciju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uvećan za 200,00 eura, zbog organiziranih radionica s djecom te sada iznosi 700,00 eura.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Nabava dugotrajne imovine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za nabavu dugotrajne imovine </w:t>
      </w:r>
      <w:r>
        <w:rPr>
          <w:rFonts w:ascii="Times New Roman" w:hAnsi="Times New Roman" w:cs="Times New Roman"/>
          <w:sz w:val="24"/>
          <w:szCs w:val="24"/>
        </w:rPr>
        <w:t>iznose 14.300,00 eura i veći su od prošlogodišnjih za 1.900,00 eura i financiraju se iz općih prihoda i primitaka proračunskih korisnika, odnosno sredstvima države i grada, sredstvima iz vlastitih izvora i donacijama.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Rashodi za nabavu knjiga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se financiraju iz državnog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5.000,00 eura i veći su od prošlogodišnjih za 1.947,38 eura, zbog otvaranja novih načina nabave </w:t>
      </w:r>
      <w:proofErr w:type="spellStart"/>
      <w:r>
        <w:rPr>
          <w:rFonts w:ascii="Times New Roman" w:hAnsi="Times New Roman" w:cs="Times New Roman"/>
          <w:sz w:val="24"/>
          <w:szCs w:val="24"/>
        </w:rPr>
        <w:t>knjga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za nabavu uredske opreme i namještaja</w:t>
      </w:r>
      <w:r>
        <w:rPr>
          <w:rFonts w:ascii="Times New Roman" w:hAnsi="Times New Roman" w:cs="Times New Roman"/>
          <w:sz w:val="24"/>
          <w:szCs w:val="24"/>
        </w:rPr>
        <w:t xml:space="preserve"> su na razini prošlogodišnjih i iznose  2.000,00 eura.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Rashodi za nabavu knjiga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se financiraju iz gradskog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 4.000,00 eura.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za umjetnička, literarna i znanstvena djela</w:t>
      </w:r>
      <w:r>
        <w:rPr>
          <w:rFonts w:ascii="Times New Roman" w:hAnsi="Times New Roman" w:cs="Times New Roman"/>
          <w:sz w:val="24"/>
          <w:szCs w:val="24"/>
        </w:rPr>
        <w:t xml:space="preserve"> uvećani su za 300,00 eura od prošlogodišnjih i iznose 400,00 eura, zbog obnove audiovizualnog fonda u knjižnici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v.d. ravnatelja:</w:t>
      </w: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BA6B7A" w:rsidRDefault="00BA6B7A" w:rsidP="00BA6B7A">
      <w:pPr>
        <w:pStyle w:val="Odlomakpopisa"/>
        <w:tabs>
          <w:tab w:val="center" w:pos="11340"/>
        </w:tabs>
        <w:spacing w:after="360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mag.educ.hist.</w:t>
      </w:r>
    </w:p>
    <w:p w:rsidR="006928B8" w:rsidRDefault="006928B8"/>
    <w:sectPr w:rsidR="006928B8" w:rsidSect="00BA6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7A"/>
    <w:rsid w:val="0059726A"/>
    <w:rsid w:val="006928B8"/>
    <w:rsid w:val="006D5FFC"/>
    <w:rsid w:val="008C1947"/>
    <w:rsid w:val="008E4EEB"/>
    <w:rsid w:val="00BA6B7A"/>
    <w:rsid w:val="00C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7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B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6B7A"/>
    <w:pPr>
      <w:ind w:left="720"/>
      <w:contextualSpacing/>
    </w:pPr>
  </w:style>
  <w:style w:type="character" w:customStyle="1" w:styleId="TekstbaloniaChar1">
    <w:name w:val="Tekst balončića Char1"/>
    <w:basedOn w:val="Zadanifontodlomka"/>
    <w:uiPriority w:val="99"/>
    <w:semiHidden/>
    <w:rsid w:val="00BA6B7A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7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B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6B7A"/>
    <w:pPr>
      <w:ind w:left="720"/>
      <w:contextualSpacing/>
    </w:pPr>
  </w:style>
  <w:style w:type="character" w:customStyle="1" w:styleId="TekstbaloniaChar1">
    <w:name w:val="Tekst balončića Char1"/>
    <w:basedOn w:val="Zadanifontodlomka"/>
    <w:uiPriority w:val="99"/>
    <w:semiHidden/>
    <w:rsid w:val="00BA6B7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2023-12-22T09:45:00Z</dcterms:created>
  <dcterms:modified xsi:type="dcterms:W3CDTF">2023-12-28T11:34:00Z</dcterms:modified>
</cp:coreProperties>
</file>