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5" w:rsidRDefault="00867B85" w:rsidP="00867B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867B85" w:rsidRDefault="00867B85" w:rsidP="00867B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:rsidR="00867B85" w:rsidRDefault="00867B85" w:rsidP="00867B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 Novalja</w:t>
      </w:r>
    </w:p>
    <w:p w:rsidR="00867B85" w:rsidRDefault="00867B85" w:rsidP="00867B8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Gradska knjižnica Novalja</w:t>
      </w:r>
    </w:p>
    <w:p w:rsidR="00867B85" w:rsidRPr="00AC4231" w:rsidRDefault="00867B85" w:rsidP="00867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</w:t>
      </w:r>
      <w:r w:rsidRPr="00AC4231">
        <w:rPr>
          <w:rFonts w:ascii="Times New Roman" w:eastAsia="Calibri" w:hAnsi="Times New Roman" w:cs="Times New Roman"/>
          <w:sz w:val="24"/>
          <w:szCs w:val="24"/>
        </w:rPr>
        <w:t>: 400-01/23-01/02</w:t>
      </w:r>
    </w:p>
    <w:p w:rsidR="00867B85" w:rsidRPr="00AC4231" w:rsidRDefault="00AC4231" w:rsidP="00867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231">
        <w:rPr>
          <w:rFonts w:ascii="Times New Roman" w:eastAsia="Calibri" w:hAnsi="Times New Roman" w:cs="Times New Roman"/>
          <w:sz w:val="24"/>
          <w:szCs w:val="24"/>
        </w:rPr>
        <w:t>URBROJ: 2125-86-23-2</w:t>
      </w:r>
    </w:p>
    <w:p w:rsidR="00867B85" w:rsidRPr="00867B85" w:rsidRDefault="00867B85" w:rsidP="00867B8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4231">
        <w:rPr>
          <w:rFonts w:ascii="Times New Roman" w:eastAsia="Calibri" w:hAnsi="Times New Roman" w:cs="Times New Roman"/>
          <w:sz w:val="24"/>
          <w:szCs w:val="24"/>
        </w:rPr>
        <w:t>Novalja,</w:t>
      </w:r>
      <w:r w:rsidR="00CB72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B7266" w:rsidRPr="00597C62">
        <w:rPr>
          <w:rFonts w:ascii="Times New Roman" w:eastAsia="Calibri" w:hAnsi="Times New Roman" w:cs="Times New Roman"/>
          <w:sz w:val="24"/>
          <w:szCs w:val="24"/>
        </w:rPr>
        <w:t>28. prosinca</w:t>
      </w:r>
      <w:r w:rsidRPr="00597C62">
        <w:rPr>
          <w:rFonts w:ascii="Times New Roman" w:eastAsia="Calibri" w:hAnsi="Times New Roman" w:cs="Times New Roman"/>
          <w:sz w:val="24"/>
          <w:szCs w:val="24"/>
        </w:rPr>
        <w:t xml:space="preserve"> 2023.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14. Statuta Gradske knjižnice Novalja, v.d. ravnatelja Gradske knjižnice Novalja donosi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II. IZMJENE I DOPUNE FINANCIJSKOG PLANA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GRADSKE KNJIŽNICE NOVALJA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ZA 2023. GODINU I PROJEKCIJA ZA </w:t>
      </w:r>
      <w:bookmarkStart w:id="1" w:name="_Hlk117748208"/>
      <w:r>
        <w:rPr>
          <w:rFonts w:ascii="Times New Roman" w:eastAsia="Calibri" w:hAnsi="Times New Roman" w:cs="Times New Roman"/>
          <w:b/>
          <w:sz w:val="24"/>
          <w:szCs w:val="24"/>
        </w:rPr>
        <w:t>2024. I 2025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Financijskom planu Gradske knjižnice Novalja za 2023. godinu i projekcije za 2024. i 2025. godinu (Klasa: 400-01/22-01/05,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:2125-86-1, od 21.prosinca 2022.g.) mijenjaju se iznosi prihoda i rashoda u dijelu koji se odnosi na 2023. Godinu te se dodaju nove planirane pozicije i aktivnosti i to kako slijedi:</w:t>
      </w: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4250"/>
        <w:gridCol w:w="1418"/>
        <w:gridCol w:w="1134"/>
        <w:gridCol w:w="709"/>
        <w:gridCol w:w="1134"/>
      </w:tblGrid>
      <w:tr w:rsidR="00867B85" w:rsidTr="00867B85">
        <w:trPr>
          <w:trHeight w:val="255"/>
        </w:trPr>
        <w:tc>
          <w:tcPr>
            <w:tcW w:w="866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200" w:line="276" w:lineRule="auto"/>
            </w:pPr>
          </w:p>
        </w:tc>
        <w:tc>
          <w:tcPr>
            <w:tcW w:w="4252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  DIO</w:t>
            </w:r>
          </w:p>
        </w:tc>
        <w:tc>
          <w:tcPr>
            <w:tcW w:w="1418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510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709" w:type="dxa"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96.061,55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81.600,00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0.6%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82.100,00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14.903,96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1.561,55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16.465,51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-2.503,96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-2.503,96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</w:tr>
      <w:tr w:rsidR="00867B85" w:rsidTr="00867B85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867B85" w:rsidRDefault="00867B85">
            <w:pPr>
              <w:spacing w:after="0" w:line="276" w:lineRule="auto"/>
            </w:pPr>
          </w:p>
        </w:tc>
        <w:tc>
          <w:tcPr>
            <w:tcW w:w="4252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-2.503,96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13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-2.503,96</w:t>
            </w:r>
          </w:p>
        </w:tc>
      </w:tr>
    </w:tbl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1149"/>
        <w:gridCol w:w="3686"/>
        <w:gridCol w:w="1559"/>
        <w:gridCol w:w="1350"/>
        <w:gridCol w:w="828"/>
        <w:gridCol w:w="1106"/>
      </w:tblGrid>
      <w:tr w:rsidR="00867B85" w:rsidTr="00867B85">
        <w:trPr>
          <w:trHeight w:val="510"/>
        </w:trPr>
        <w:tc>
          <w:tcPr>
            <w:tcW w:w="1149" w:type="dxa"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828" w:type="dxa"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SVEUKUPNO PRIHODI</w:t>
            </w:r>
          </w:p>
        </w:tc>
        <w:tc>
          <w:tcPr>
            <w:tcW w:w="1559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96.503,96</w:t>
            </w:r>
          </w:p>
        </w:tc>
        <w:tc>
          <w:tcPr>
            <w:tcW w:w="1350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828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2,14</w:t>
            </w:r>
          </w:p>
        </w:tc>
        <w:tc>
          <w:tcPr>
            <w:tcW w:w="1106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98.565,51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000 GRADSKA KNJIŽNICA- PRIHODI</w:t>
            </w:r>
          </w:p>
        </w:tc>
        <w:tc>
          <w:tcPr>
            <w:tcW w:w="1559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50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828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106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96.061,55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       Opći prihodi i primici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91.752,62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2.461,55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2,68</w:t>
            </w:r>
          </w:p>
        </w:tc>
        <w:tc>
          <w:tcPr>
            <w:tcW w:w="1106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94.214,17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183" w:hanging="11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   Prihodi od financijske imovine (kamate)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183" w:hanging="11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1.3.    Opći prihodi i primici    proračunski korisnik(država)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50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2.461,55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80,64</w:t>
            </w:r>
          </w:p>
        </w:tc>
        <w:tc>
          <w:tcPr>
            <w:tcW w:w="1106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5.514,17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za financiranje rashoda poslovanja-država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2.461,55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80,64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5.514,17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iz proračuna koji im nije nadležan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183" w:hanging="11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1.4.    Opći prihodi i primici proračunski korisnik (grad)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350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88.700,00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za financiranje rashoda poslovanja-grad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88.700,00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88.700,00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       Vlastiti prihodi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3.1.    Vlastiti prihodi (članarina)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350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prihodi-članarina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1.847,38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6.       Donacije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-400,00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106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6.1.    Donacije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50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-400,00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106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100 PRENESENA SREDSTVA PRETHODNIH GODINA</w:t>
            </w:r>
          </w:p>
        </w:tc>
        <w:tc>
          <w:tcPr>
            <w:tcW w:w="1559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350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2.503,96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       Vlastiti prihodi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3.3.    Višak prihoda poslovanja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350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</w:tr>
      <w:tr w:rsidR="00867B85" w:rsidTr="00867B85">
        <w:trPr>
          <w:trHeight w:val="255"/>
        </w:trPr>
        <w:tc>
          <w:tcPr>
            <w:tcW w:w="114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68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350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2.503,96</w:t>
            </w:r>
          </w:p>
        </w:tc>
      </w:tr>
    </w:tbl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9"/>
        <w:gridCol w:w="4396"/>
        <w:gridCol w:w="1559"/>
        <w:gridCol w:w="1418"/>
        <w:gridCol w:w="828"/>
        <w:gridCol w:w="1106"/>
      </w:tblGrid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559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96.503,96</w:t>
            </w:r>
          </w:p>
        </w:tc>
        <w:tc>
          <w:tcPr>
            <w:tcW w:w="1418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828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2,14</w:t>
            </w:r>
          </w:p>
        </w:tc>
        <w:tc>
          <w:tcPr>
            <w:tcW w:w="1014" w:type="dxa"/>
            <w:shd w:val="clear" w:color="auto" w:fill="D99594" w:themeFill="accent2" w:themeFillTint="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98.565,51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001 GRADSKA KNJIŽNICA- RASHODI</w:t>
            </w:r>
          </w:p>
        </w:tc>
        <w:tc>
          <w:tcPr>
            <w:tcW w:w="1559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18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828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014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96.061,55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Promicanje kulture</w:t>
            </w:r>
          </w:p>
        </w:tc>
        <w:tc>
          <w:tcPr>
            <w:tcW w:w="1559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18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828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014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96.061,55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A100000 Rashodi za zaposlene</w:t>
            </w:r>
          </w:p>
        </w:tc>
        <w:tc>
          <w:tcPr>
            <w:tcW w:w="1559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41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    Opći prihodi i primici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041" w:hanging="104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1.4. Opći prihodi i primici proračunski  korisnik (grad)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602" w:hanging="6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Doprinosi za obvezno zdravstveno  osiguranje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Ostali rashodi za zaposlene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Plaće za redovan rad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52.800,00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Materijalni i financijski rashodi</w:t>
            </w:r>
          </w:p>
        </w:tc>
        <w:tc>
          <w:tcPr>
            <w:tcW w:w="1559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  <w:tc>
          <w:tcPr>
            <w:tcW w:w="141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     Opći prihodi i primici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041" w:hanging="104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 Prihodi od financijske imovine (kamate)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Ostali nespomenuti rashodi poslovanja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041" w:hanging="104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1.4. Opći prihodi i primici proračunski korisnik (grad)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Intelektualne i osobne usluge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-7,69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Računalne usluge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Reprezentacija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Službena putovanja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Stručno usavršavanje zaposlenika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-14,29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Uredski materijal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Komunalne usluge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Usluge tekućeg i investicijskog održavanja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Usluge telefona, pošte i prijevoza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Zdravstvene usluge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Pristojbe i naknade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Usluge promidžbe i informiranja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-33,33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Kreativna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Literatura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Materijal i sredstva za čišćenje i održavanje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Naknade za prijevoz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Ostali nespomenuti rashodi poslovanja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Bankarske usluge i usluge platnog prometa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 Nakladništvo</w:t>
            </w:r>
          </w:p>
        </w:tc>
        <w:tc>
          <w:tcPr>
            <w:tcW w:w="1559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    Opći prihodi i primici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041" w:hanging="104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1.4. Opći prihodi i primici proračunski korisnik (grad)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Usluge promidžbe i informiranja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Intelektualne i osobne usluge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K100000 Nabava dugotrajne imovine</w:t>
            </w:r>
          </w:p>
        </w:tc>
        <w:tc>
          <w:tcPr>
            <w:tcW w:w="1559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41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2.061,55</w:t>
            </w:r>
          </w:p>
        </w:tc>
        <w:tc>
          <w:tcPr>
            <w:tcW w:w="82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16,63</w:t>
            </w:r>
          </w:p>
        </w:tc>
        <w:tc>
          <w:tcPr>
            <w:tcW w:w="1014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14.461,55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    Opći prihodi i primici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10.152,62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2.461,55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24,25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12.614,17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041" w:hanging="104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1.3. Opći prihodi i primici proračunski  korisnik(država)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2.461,55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80,64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5.514,17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Knjige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2.461,55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80,64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5.514,17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ind w:left="1041" w:hanging="104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1.4. Opći prihodi i primici proračunski  korisnik (grad)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7.100,00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Knjige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Umjetnička, literarna i znanstvena djela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Uredska oprema i namještaj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    Vlastiti prihodi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(članarina)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1.847,38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Knjige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1.847,38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1.847,38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6.    Donacije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-400,00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6.1. Donacije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-400,00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Knjige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100 PRENESENA SREDSTVA PRETHODNIH GODINA</w:t>
            </w:r>
          </w:p>
        </w:tc>
        <w:tc>
          <w:tcPr>
            <w:tcW w:w="1559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418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00008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2.503,96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1000 Promicanje kulture</w:t>
            </w:r>
          </w:p>
        </w:tc>
        <w:tc>
          <w:tcPr>
            <w:tcW w:w="1559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418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8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4" w:type="dxa"/>
            <w:shd w:val="clear" w:color="auto" w:fill="9999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 Materijalni i financijski rashodi</w:t>
            </w:r>
          </w:p>
        </w:tc>
        <w:tc>
          <w:tcPr>
            <w:tcW w:w="1559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2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14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    Vlastiti prihodi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3.3. Višak prihoda poslovanja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Kreativna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Reprezentacija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K100000 Nabava dugotrajne imovine</w:t>
            </w:r>
          </w:p>
        </w:tc>
        <w:tc>
          <w:tcPr>
            <w:tcW w:w="1559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41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-500,00</w:t>
            </w:r>
          </w:p>
        </w:tc>
        <w:tc>
          <w:tcPr>
            <w:tcW w:w="828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-19,97</w:t>
            </w:r>
          </w:p>
        </w:tc>
        <w:tc>
          <w:tcPr>
            <w:tcW w:w="1014" w:type="dxa"/>
            <w:shd w:val="clear" w:color="auto" w:fill="CCCCFF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2.003,96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    Vlastiti prihodi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41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-500,00</w:t>
            </w:r>
          </w:p>
        </w:tc>
        <w:tc>
          <w:tcPr>
            <w:tcW w:w="828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-19,97</w:t>
            </w:r>
          </w:p>
        </w:tc>
        <w:tc>
          <w:tcPr>
            <w:tcW w:w="1014" w:type="dxa"/>
            <w:shd w:val="clear" w:color="auto" w:fill="FFFF00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2.003,96</w:t>
            </w:r>
          </w:p>
        </w:tc>
      </w:tr>
      <w:tr w:rsidR="00867B85" w:rsidTr="00867B85">
        <w:trPr>
          <w:trHeight w:val="255"/>
        </w:trPr>
        <w:tc>
          <w:tcPr>
            <w:tcW w:w="4835" w:type="dxa"/>
            <w:gridSpan w:val="2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3.3. Višak prihoda poslovanja</w:t>
            </w:r>
          </w:p>
        </w:tc>
        <w:tc>
          <w:tcPr>
            <w:tcW w:w="1559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41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-500,00</w:t>
            </w:r>
          </w:p>
        </w:tc>
        <w:tc>
          <w:tcPr>
            <w:tcW w:w="828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-19,97</w:t>
            </w:r>
          </w:p>
        </w:tc>
        <w:tc>
          <w:tcPr>
            <w:tcW w:w="1014" w:type="dxa"/>
            <w:shd w:val="clear" w:color="auto" w:fill="FFFF99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2.003,96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Knjige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2.503,96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-1.500,00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-59,91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1.003,96</w:t>
            </w:r>
          </w:p>
        </w:tc>
      </w:tr>
      <w:tr w:rsidR="00867B85" w:rsidTr="00867B85">
        <w:trPr>
          <w:trHeight w:val="255"/>
        </w:trPr>
        <w:tc>
          <w:tcPr>
            <w:tcW w:w="43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96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Uredska oprema i namještaj</w:t>
            </w:r>
          </w:p>
        </w:tc>
        <w:tc>
          <w:tcPr>
            <w:tcW w:w="1559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28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14" w:type="dxa"/>
            <w:noWrap/>
            <w:vAlign w:val="bottom"/>
            <w:hideMark/>
          </w:tcPr>
          <w:p w:rsidR="00867B85" w:rsidRDefault="00867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</w:tbl>
    <w:p w:rsidR="00867B85" w:rsidRDefault="00867B85" w:rsidP="00867B85">
      <w:pPr>
        <w:tabs>
          <w:tab w:val="center" w:pos="11340"/>
        </w:tabs>
        <w:spacing w:before="120" w:after="360" w:line="240" w:lineRule="exact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360" w:line="240" w:lineRule="exact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360"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Izmjene i dopune Financijskog plana Gradske knjižnice Novalja za 2023. godinu i projekcije za 2024. i 2025. godinu stupaju na snagu prvog dana od dana dobivanja suglasnosti osnivača, a objavit će se na oglasnoj ploči i internetskoj stranici Knjižnice.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v.d. ravnateljica: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Kustić</w:t>
      </w:r>
      <w:proofErr w:type="spellEnd"/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OBRAZLOŽENJE 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 II. Izmjene i dopune Financijskog plana Gradske knjižnice Novalja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2023. godinu i projekcija za 2024. i 2025. godinu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Gradske knjižnice Novalja za 2023.godinu i projekcija za 2023.i 2024.g. godinu donesen je 21. Prosinca 2022.g., s planiranim prihodima u iznosu od 90.600,00 eura te rashodima u iznosu od 90.600,00 eura.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after="3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 Izmjene i dopune Financijskog plana Gradske knjižnice Novalja za 2023. godinu i projekcija za 2024. i 2025. godinu (dalje u tekstu: I. Izmjene i dopune) sastavljene su sukladno Zakonu o proračunu,</w:t>
      </w:r>
      <w:r>
        <w:rPr>
          <w:rFonts w:ascii="Times New Roman" w:hAnsi="Times New Roman" w:cs="Times New Roman"/>
          <w:sz w:val="24"/>
          <w:szCs w:val="24"/>
        </w:rPr>
        <w:t xml:space="preserve"> Pravilnika o proračunskom računovodstvu i računskom planu te Uputama za izradu Proračuna Grada Novalje</w:t>
      </w:r>
      <w:r>
        <w:rPr>
          <w:rFonts w:ascii="Times New Roman" w:eastAsia="Calibri" w:hAnsi="Times New Roman" w:cs="Times New Roman"/>
          <w:sz w:val="24"/>
          <w:szCs w:val="24"/>
        </w:rPr>
        <w:t>, a temelje se na odredbama koje nalažu izmjene financijskog plana i njegovo uravnoteženje, ukoliko se ukaže potreba za povećanjem ili smanjenjem određenih prihoda ili rashoda. I. izmjene i dopune su predložene zbog povećanja prihoda iz državnog proračuna te zbog ostvarenog viška prihoda iz prethodnog razdoblja.</w:t>
      </w:r>
    </w:p>
    <w:p w:rsidR="00867B85" w:rsidRDefault="00867B85" w:rsidP="00867B85">
      <w:pPr>
        <w:tabs>
          <w:tab w:val="center" w:pos="11340"/>
        </w:tabs>
        <w:spacing w:after="3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Ove II. Izmjene i dopune usklađene su s II. Izmjenama i dopunama proračuna Grada Novalje za 2023. godinu („Županijski glasnik Ličko-senjske županije“ broj ___________).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Prihodi i primici te rashodi i izdaci za 2023. godinu iskazani su na razini skupine (druga razina računskog plana) isto kao za 2024. i 2025. godinu. 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slijedi pojašnjenje pojedinih stavki prijedloga Financijskog plana za 2023. godinu.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povećavaju se za 2.061,55 eura i iznose 98.565,51 eura.</w:t>
      </w: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prihodi i primici iz državnog proračuna </w:t>
      </w:r>
      <w:r>
        <w:rPr>
          <w:rFonts w:ascii="Times New Roman" w:hAnsi="Times New Roman" w:cs="Times New Roman"/>
          <w:sz w:val="24"/>
          <w:szCs w:val="24"/>
        </w:rPr>
        <w:t>povećavaju se za 2.461,55 eura (80,64%) i iznose 5.514,17 eura, a odnose se na povećanje sredstva Ministarstva kulture i medija za financiranje programa javnih potreba u kulturi Republike Hrvatske za 2023. godinu.</w:t>
      </w: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prihodi i primici iz proračuna Grada Novalje</w:t>
      </w:r>
      <w:r>
        <w:rPr>
          <w:rFonts w:ascii="Times New Roman" w:hAnsi="Times New Roman" w:cs="Times New Roman"/>
          <w:sz w:val="24"/>
          <w:szCs w:val="24"/>
        </w:rPr>
        <w:t xml:space="preserve"> se ne mijenjaju te ostaje iznos od 88.700,00 eura.</w:t>
      </w: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se ne mijenjaju te ostaje iznos od 1.847,38 eura.</w:t>
      </w: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Donacije </w:t>
      </w:r>
      <w:r>
        <w:rPr>
          <w:rFonts w:ascii="Times New Roman" w:hAnsi="Times New Roman" w:cs="Times New Roman"/>
          <w:sz w:val="24"/>
          <w:szCs w:val="24"/>
        </w:rPr>
        <w:t>su smanjene za cijeli iznos od 400,00 eura zbog toga što je knjižnica dobila veći iznos od Ministarstva kulture i medija.</w:t>
      </w: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Prenesena sredstva prethodnih godina</w:t>
      </w:r>
      <w:r>
        <w:rPr>
          <w:rFonts w:ascii="Times New Roman" w:hAnsi="Times New Roman" w:cs="Times New Roman"/>
          <w:sz w:val="24"/>
          <w:szCs w:val="24"/>
        </w:rPr>
        <w:t xml:space="preserve"> ostaju u istom iznosu od 2.503,96 eura.</w:t>
      </w: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RASHODI</w:t>
      </w:r>
    </w:p>
    <w:p w:rsidR="00867B85" w:rsidRDefault="00867B85" w:rsidP="00867B85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Sveukupni rashodi povećani su za 2.061,55 eura i iznose 98.565,51 eura. Sastoje se od Redovnih rashoda poslovanja, Materijalnih i financijskih rashoda i rashodi za nabavu dugotrajne imovine.</w:t>
      </w:r>
    </w:p>
    <w:p w:rsidR="00867B85" w:rsidRDefault="00867B85" w:rsidP="00867B85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REDOVNI  RASHODI  POSLOVANJA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nisu mijenjani i ostaju u iznosu od 52.800,00 eura                              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Materijalni i financijski rashodi </w:t>
      </w:r>
      <w:r>
        <w:rPr>
          <w:rFonts w:ascii="Times New Roman" w:hAnsi="Times New Roman" w:cs="Times New Roman"/>
          <w:sz w:val="24"/>
          <w:szCs w:val="24"/>
        </w:rPr>
        <w:t xml:space="preserve"> ostaju u istom iznosu od 14.900,00 eura, a preraspodjele sredstava prema izvorima su: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R0006 - Službena putovanja – se smanjuju za 200,00 eura te sada iznose 300,00 eura s obzirom da nemamo u planu nikakva službena putovanja.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R0007 -  Stručno usavršavanje zaposlenika – smanjuje se za 100,00 eura i sada iznosi 600,00 eura jer se ne planiraju do daljnjeg stručna usavršavanja.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R0010 -  Materijal i sredstva za čišćenje i održavanje - se povećavaju za 200,00 eura te iznose 500,00 eura zbog povećanja cijena sredstava za čišćenje i higijenskim potrepštinama.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R0011-0 – Usluge promidžbe i informiranja - se smanjuju za 100,00 eura te sada iznose 200,00 eura zbog neodržavanja jednog knjižničnog događaja.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R0012  -  Zdravstvene usluge – se povećavaju za 100,00 eura te sada iznose 800,00 eura zbog potpisivanja novih polica dobrovoljnog zdravstvenog osiguranja.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R0013 – Intelektualne i osobne usluge – se smanjuju  za 100, eura te sada iznose 1.200,00 eura zbog neodržavanja jednog knjižničnog događaja.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R0015 – Reprezentacija -  se povećava za 200,00 eura te sada iznosi 700,00 eura zbog događanja i programa u knjižnici koji slijede.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Donacije – </w:t>
      </w:r>
      <w:r>
        <w:rPr>
          <w:rFonts w:ascii="Times New Roman" w:hAnsi="Times New Roman" w:cs="Times New Roman"/>
          <w:sz w:val="24"/>
          <w:szCs w:val="24"/>
        </w:rPr>
        <w:t>se smanjuju u cijelom iznosu od 400,00 eura zbog toga što je knjižnica dobila veći iznos od Ministarstva kulture i medija.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Općim prihodima i primicima proračunskih korisnika za koje je nadležno ministarstvo 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R0019 -  Knjige - Ministarstvo kulture i medija RH je kroz ugovor za odobreni program Iskaza interesa za otkup knjiga u 2023. godini  knjižnici dodijelilo još 2.461,55 eura, te sada iznosi 5.514,17 eura.</w:t>
      </w:r>
    </w:p>
    <w:p w:rsidR="00867B85" w:rsidRDefault="00867B85" w:rsidP="00867B85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Prenesena sredstva iz prethodnih godina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iznose 2.503,96 te su raspodijeljena prema sljedećim izvorima: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R0023-0 – Reprezentacija – raspodijeljena su sredstva u iznosu od 200,00 eura zbog događanja koja slijede u knjižnici.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R0023-1 – Kreativna -  raspodijeljena su sredstva u iznosu od 300,00 eura, zbog nadolazećih radionica s djecom.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R0023-2 – Uredska oprema i namještaj – raspodijeljena su sredstva u iznosu od 1.000,00 eura zbog neophodnog opremanja knjižnice policama i el. uređajima potrebnima za obavljanje knjižnične djelatnosti.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R0024 -  Knjige – su iz prenesenih sredstava prethodnih godina (vlastitih prihoda) smanjene za 1.500,00 eura kako bi se raspodijelila na gore navedena tri izvora, te sada stoji ukupan iznos izvora R0024- Knjige – 1.003,96 eura.</w:t>
      </w: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85" w:rsidRDefault="00867B85" w:rsidP="00867B85">
      <w:pPr>
        <w:pStyle w:val="Odlomakpopisa"/>
        <w:tabs>
          <w:tab w:val="center" w:pos="8505"/>
          <w:tab w:val="center" w:pos="11340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v.d. ravnatelja:</w:t>
      </w:r>
    </w:p>
    <w:p w:rsidR="00867B85" w:rsidRDefault="00867B85" w:rsidP="00867B85">
      <w:pPr>
        <w:pStyle w:val="Odlomakpopisa"/>
        <w:tabs>
          <w:tab w:val="center" w:pos="8505"/>
          <w:tab w:val="center" w:pos="11340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Kustić</w:t>
      </w:r>
      <w:proofErr w:type="spellEnd"/>
    </w:p>
    <w:p w:rsidR="00867B85" w:rsidRDefault="00867B85" w:rsidP="00867B85">
      <w:pPr>
        <w:rPr>
          <w:rFonts w:ascii="Times New Roman" w:hAnsi="Times New Roman" w:cs="Times New Roman"/>
        </w:rPr>
      </w:pPr>
    </w:p>
    <w:p w:rsidR="009F5224" w:rsidRDefault="00597C62"/>
    <w:sectPr w:rsidR="009F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5"/>
    <w:rsid w:val="0059726A"/>
    <w:rsid w:val="00597C62"/>
    <w:rsid w:val="006D5FFC"/>
    <w:rsid w:val="00867B85"/>
    <w:rsid w:val="00AC4231"/>
    <w:rsid w:val="00C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5"/>
    <w:pPr>
      <w:spacing w:after="160"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867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7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86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5"/>
    <w:pPr>
      <w:spacing w:after="160"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867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7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86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2023-12-28T08:26:00Z</dcterms:created>
  <dcterms:modified xsi:type="dcterms:W3CDTF">2023-12-28T10:05:00Z</dcterms:modified>
</cp:coreProperties>
</file>